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Times New Roman"/>
          <w:sz w:val="20"/>
          <w:szCs w:val="20"/>
          <w:lang w:eastAsia="pl-PL"/>
        </w:rPr>
        <w:t>Załącznik do Zarządzenia nr 65/2019</w:t>
      </w:r>
    </w:p>
    <w:p>
      <w:pPr>
        <w:pStyle w:val="Normal"/>
        <w:spacing w:lineRule="auto" w:line="276" w:before="0" w:after="0"/>
        <w:jc w:val="right"/>
        <w:rPr>
          <w:rFonts w:ascii="Calibri" w:hAnsi="Calibri"/>
        </w:rPr>
      </w:pPr>
      <w:r>
        <w:rPr>
          <w:rFonts w:eastAsia="Times New Roman" w:cs="Times New Roman"/>
          <w:sz w:val="20"/>
          <w:szCs w:val="20"/>
          <w:lang w:eastAsia="pl-PL"/>
        </w:rPr>
        <w:t>Burmistrza Grodziska Wielkopolskiego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Times New Roman" w:cs="Times New Roman"/>
          <w:sz w:val="20"/>
          <w:szCs w:val="20"/>
          <w:lang w:eastAsia="pl-PL"/>
        </w:rPr>
        <w:t>z dnia 12.07.2019 r</w:t>
      </w:r>
      <w:r>
        <w:rPr>
          <w:rFonts w:eastAsia="Times New Roman" w:cs="Times New Roman"/>
          <w:lang w:eastAsia="pl-PL"/>
        </w:rPr>
        <w:t xml:space="preserve">.  </w:t>
      </w:r>
    </w:p>
    <w:p>
      <w:pPr>
        <w:pStyle w:val="Normal"/>
        <w:spacing w:lineRule="auto" w:line="276" w:before="0" w:after="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Regulamin konkursu pn. „Grodziskie Inicjatywy Społeczne 2020”</w:t>
      </w:r>
    </w:p>
    <w:p>
      <w:pPr>
        <w:pStyle w:val="Normal"/>
        <w:spacing w:lineRule="auto" w:line="276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/>
          <w:b/>
          <w:lang w:eastAsia="pl-PL"/>
        </w:rPr>
        <w:t xml:space="preserve">Organizatorem konkursu pod nazwą „Grodziskie Inicjatywy Społeczne” (zwanego dalej „Konkursem”) jest Gmina Grodzisk Wielkopolski (kod pocztowy: 62 – 065 Grodzisk Wielkopolski), ul. Stary Rynek 1, zwana dalej „Organizatorem” </w:t>
      </w:r>
    </w:p>
    <w:p>
      <w:pPr>
        <w:pStyle w:val="Nagwekjk"/>
        <w:numPr>
          <w:ilvl w:val="0"/>
          <w:numId w:val="0"/>
        </w:numPr>
        <w:ind w:left="720" w:hanging="0"/>
        <w:rPr/>
      </w:pPr>
      <w:bookmarkStart w:id="0" w:name="__DdeLink__620_319227291"/>
      <w:r>
        <w:rPr>
          <w:rFonts w:eastAsia="Microsoft YaHei" w:cs="Mangal"/>
        </w:rPr>
        <w:t>§</w:t>
      </w:r>
      <w:bookmarkEnd w:id="0"/>
      <w:r>
        <w:rPr>
          <w:rFonts w:eastAsia="Microsoft YaHei" w:cs="Mangal"/>
        </w:rPr>
        <w:t xml:space="preserve"> 1. </w:t>
      </w:r>
      <w:r>
        <w:rPr/>
        <w:t xml:space="preserve">CELE KONKURSU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Times New Roman" w:cs="Times New Roman"/>
          <w:lang w:eastAsia="pl-PL"/>
        </w:rPr>
        <w:t xml:space="preserve">Celem Konkursu jest pobudzenie aktywności, </w:t>
      </w:r>
      <w:r>
        <w:rPr>
          <w:rFonts w:eastAsia="Times New Roman" w:cs="Times New Roman"/>
          <w:b w:val="false"/>
          <w:bCs w:val="false"/>
          <w:lang w:eastAsia="pl-PL"/>
        </w:rPr>
        <w:t>wyzwolenie potencjału społecznego, zainspirowanie mieszkańców oraz lokalnych organizacji pozarządowych do działania na rzecz dobra wspólnego</w:t>
        <w:br/>
        <w:t xml:space="preserve">w przestrzeni publicznej </w:t>
      </w:r>
      <w:r>
        <w:rPr>
          <w:rFonts w:eastAsia="Times New Roman" w:cs="Times New Roman"/>
          <w:lang w:eastAsia="pl-PL"/>
        </w:rPr>
        <w:t xml:space="preserve"> gminy Grodzisk Wielkopolski oraz wykształcenie poczucia wpływu na najbliższe otoczenie, stanowiące miejsce zamieszkania.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contextualSpacing/>
        <w:jc w:val="both"/>
        <w:rPr>
          <w:rFonts w:eastAsia="Times New Roman" w:cs="Times New Roman"/>
          <w:b w:val="false"/>
          <w:b w:val="false"/>
          <w:bCs w:val="false"/>
          <w:lang w:eastAsia="pl-PL"/>
        </w:rPr>
      </w:pPr>
      <w:r>
        <w:rPr>
          <w:rFonts w:eastAsia="Times New Roman" w:cs="Times New Roman"/>
          <w:b w:val="false"/>
          <w:bCs w:val="false"/>
          <w:lang w:eastAsia="pl-PL"/>
        </w:rPr>
      </w:r>
    </w:p>
    <w:p>
      <w:pPr>
        <w:pStyle w:val="Nagwek2"/>
        <w:ind w:left="720" w:hanging="0"/>
        <w:jc w:val="center"/>
        <w:rPr/>
      </w:pPr>
      <w:r>
        <w:rPr>
          <w:rFonts w:ascii="Calibri" w:hAnsi="Calibri"/>
          <w:b/>
          <w:bCs/>
        </w:rPr>
        <w:t>§ 2. WARUNKI KONKURSU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Konkurs polega na przygotowaniu przez uczestników Konkursu projektu inicjatywy społecznej spełniającej warunki określone w ust. 3 i 4 zwanej dalej </w:t>
      </w:r>
      <w:r>
        <w:rPr>
          <w:rFonts w:eastAsia="Times New Roman" w:cs="Times New Roman"/>
          <w:b w:val="false"/>
          <w:bCs w:val="false"/>
          <w:lang w:eastAsia="pl-PL"/>
        </w:rPr>
        <w:t>projektem.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W ramach Konkursu dopuszcza się projekty: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o charakterze inwestycyjnym polegającym na budowie nowej infrastruktury lub modernizacji, rozbudowie istniejącej infrastruktury, koszt wdrożenia projektu musi się mieścić w kwocie pomiędzy 5 000,00 a 50 000,00 zł brutto,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o charakterze społecznym (tzw. „miękkie”), koszt wdrożenia projektu musi się mieścić</w:t>
        <w:br/>
        <w:t>w kwocie pomiędzy 2 000,00 a 10 000,00 zł brutto.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lang w:eastAsia="pl-PL"/>
        </w:rPr>
        <w:t>Wymogi merytoryczne projektu: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projekt powinien być pomysłem i odpowiedzią na zaobserwowane potrzeby mieszkańców gminy Grodzisk Wielkopolski, w szczególności: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zagospodarowania lokalnej przestrzeni publicznej, poprawy jej estetyki, czystości,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funkcjonalności,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ochrony zabytków, pielęgnowania i tworzenia miejsc pamięci,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ochrony i poszerzania wiedzy o środowisku naturalnym,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promocji i upamiętnienia postaci, które wywarły pozytywny wpływ na lokalne środowisko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i których dorobek jest żywy w lokalnej świadomości albo wart przywrócenia pamięci,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budowania wspólnot międzypokoleniowych, pogłębiania więzi lokalnych, współpracy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między organizacjami,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- poprawy jakości życia mieszkańców gminy Grodzisk Wielkopolski;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lang w:eastAsia="pl-PL"/>
        </w:rPr>
        <w:t>rozwiązania zaproponowane w projekcie powinny umożliwiać usprawnienie funkcjonowania gminy Grodzisk Wielkopolski w różnych obszarach jej działania.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Zakupy sprzętu lub wyposażenia są dopuszczalne jedynie jako element większego przedsięwzięcia.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Każdy uczestnik Konkursu powinien dokonać zgłoszenia projektu zgodnie z zasadami określonymi w niniejszym Regulaminie.</w:t>
      </w:r>
    </w:p>
    <w:p>
      <w:pPr>
        <w:pStyle w:val="Nagwek2"/>
        <w:spacing w:lineRule="auto" w:line="276"/>
        <w:jc w:val="center"/>
        <w:rPr/>
      </w:pPr>
      <w:r>
        <w:rPr>
          <w:rFonts w:ascii="Calibri" w:hAnsi="Calibri"/>
          <w:b/>
          <w:bCs/>
          <w:sz w:val="28"/>
          <w:szCs w:val="28"/>
        </w:rPr>
        <w:t>§ 3. ZABEZPIECZENIE FINANSOWE KONKURSU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Środki przeznaczone na realizację niniejszego konkursu w łącznej wysokości 200 000,00 zł zostaną zabezpieczone w projekcie budżetu gminy Grodzisk Wielkopolski na rok 2020 r., w tym:</w:t>
      </w:r>
    </w:p>
    <w:p>
      <w:pPr>
        <w:pStyle w:val="Nagwek2"/>
        <w:numPr>
          <w:ilvl w:val="1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na projekty o charakterze inwestycyjnym w wysokości 150 000,00 zł brutto,</w:t>
      </w:r>
    </w:p>
    <w:p>
      <w:pPr>
        <w:pStyle w:val="Nagwek2"/>
        <w:numPr>
          <w:ilvl w:val="1"/>
          <w:numId w:val="8"/>
        </w:numPr>
        <w:spacing w:lineRule="auto" w:line="276" w:before="69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na projekty o charakterze społecznym (tzw. miękkie) w wysokości 50 000,00 zł brutto.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Wdrożone (wskazane do realizacji) zostaną najwyżej ocenione projekty, których łączna wartość będzie się mieściła w puli środków zabezpieczonych na Konkurs.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W przypadku, gdy wartość projektów przekroczy kwotę dostępną w ramach Konkursu, Organizator ma prawo podjąć negocjacje z autorem dotyczące zakresu finansowego oraz rzeczowego zgłoszonego projektu.</w:t>
      </w:r>
    </w:p>
    <w:p>
      <w:pPr>
        <w:pStyle w:val="Nagwek2"/>
        <w:spacing w:lineRule="auto" w:line="276"/>
        <w:jc w:val="center"/>
        <w:rPr/>
      </w:pPr>
      <w:r>
        <w:rPr>
          <w:rFonts w:eastAsia="Microsoft YaHei" w:cs="Mangal" w:ascii="Calibri" w:hAnsi="Calibri"/>
          <w:b/>
          <w:bCs/>
          <w:sz w:val="28"/>
          <w:szCs w:val="28"/>
        </w:rPr>
        <w:t xml:space="preserve">§ 4. </w:t>
      </w:r>
      <w:r>
        <w:rPr>
          <w:rFonts w:ascii="Calibri" w:hAnsi="Calibri"/>
          <w:b/>
          <w:bCs/>
          <w:sz w:val="28"/>
          <w:szCs w:val="28"/>
        </w:rPr>
        <w:t xml:space="preserve">ZGŁASZANIE PROJEKTÓW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Projekty mogą składać: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osoby fizyczne – mieszkańcy gminy Grodzisk Wielkopolski,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 xml:space="preserve">grupy nieformalne – min. 3 osoby fizyczne z terenu gminy Grodzisk Wielkopolski działające na mocy „Umowy o powołaniu grupy nieformalnej”, której wzór stanowi </w:t>
      </w:r>
      <w:r>
        <w:rPr>
          <w:rFonts w:eastAsia="Calibri" w:cs="" w:cstheme="minorBidi" w:eastAsiaTheme="minorHAnsi"/>
        </w:rPr>
        <w:t xml:space="preserve">załącznik nr 1 </w:t>
      </w:r>
      <w:r>
        <w:rPr/>
        <w:t>do niniejszego Regulaminu,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 xml:space="preserve">organizacje pozarządowe działające na terenie gminy Grodzisk Wielkopolski, które posiadają wpis do właściwego rejestru lub ewidencji,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/>
      </w:pPr>
      <w:r>
        <w:rPr/>
        <w:t>zwani dalej uczestnikami.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Zgłoszenie konkursowe musi zawierać: 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imię i nazwisko osoby zgłaszającej oraz adres do korespondencji (pocztowy oraz e-mail), nr telefonu kontaktowego – jeżeli zgłaszającym jest osoba fizyczna,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imiona i nazwiska osób zgłaszających oraz adres do korespondencji (pocztowy oraz e-mail), nr telefonu komórkowego – jeżeli zgłaszającym jest grupa nieformalna,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>
          <w:rFonts w:eastAsia="Times New Roman" w:cs="Times New Roman"/>
          <w:lang w:eastAsia="pl-PL"/>
        </w:rPr>
        <w:t>nazwę i siedzibę organizacji, a także imiona i nazwiska oraz numery telefonów osób uprawnionych na podstawie przepisów prawa do składania oświadczeń woli w imieniu organizacji – jeżeli zgłaszającym jest organizacja pozarządowa.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Jedna osoba fizyczna, grupa nieformalna, organizacja może złożyć propozycje 3 projektów na formularzu zgłoszenia projektu do „Konkursu” stanowiącym załącznik nr 2 do Regulaminu, zwanym dalej formularzem. Każdy projekt musi być złożony na odrębnym formularzu.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 xml:space="preserve">Formularz zgłoszeniowy w wersji elektronicznej znajduje się na stronie internetowej Organizatora </w:t>
      </w:r>
      <w:hyperlink r:id="rId2">
        <w:r>
          <w:rPr>
            <w:rStyle w:val="Czeinternetowe"/>
          </w:rPr>
          <w:t>www.grodzisk.wlkp.pl</w:t>
        </w:r>
      </w:hyperlink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Wypełniony formularz można złożyć: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w wersji pisemnej do urny w Biurze Obsługi Mieszkańca Urzędu Miejskiego w Grodzisku Wielkopolskim, ul. Stary Rynek 1,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przesłać pocztą na adres: Urząd Miejski w Grodzisku Wielkopolskim, ul. Stary Rynek 1, 62-065 Grodzisk Wielkopolski z dopiskiem „Grodziskie Inicjatywy Społeczne 2020”,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u sołtysów w zamkniętej kopercie z dopiskiem „ Grodziskie Inicjatywy Społeczne 2020”; sołtys odnotuje złożenie wniosku na liście,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 xml:space="preserve">drogą elektroniczną – skan formularza należy wysłać na adres mailowy: </w:t>
      </w:r>
      <w:hyperlink r:id="rId3">
        <w:r>
          <w:rPr>
            <w:rStyle w:val="Czeinternetowe"/>
          </w:rPr>
          <w:t>j.kalinska@grodzisk.wlkp.pl</w:t>
        </w:r>
      </w:hyperlink>
      <w:r>
        <w:rPr/>
        <w:t xml:space="preserve"> lub </w:t>
      </w:r>
      <w:hyperlink r:id="rId4">
        <w:r>
          <w:rPr>
            <w:rStyle w:val="Czeinternetowe"/>
          </w:rPr>
          <w:t>grodzisk@grodzisk.wlkp.pl</w:t>
        </w:r>
      </w:hyperlink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Formularz uznaje się za złożony jeżeli zostanie czytelnie wypełniony w każdym punkcie, podpisany</w:t>
        <w:br/>
        <w:t>i dostarczony do Urzędu Miejskiego w Grodzisku Wielkopolskim w terminie do dnia 16.09.2019 r. do godz. 1</w:t>
      </w:r>
      <w:r>
        <w:rPr/>
        <w:t>6</w:t>
      </w:r>
      <w:r>
        <w:rPr/>
        <w:t>.00.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Do formularza zgłoszeniowego należy dołączyć: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w przypadku organizacji pozarządowych – odpis z właściwego rejestru,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/>
        <w:t>w przypadku grup nieformalnych – kopię porozumienia o powołaniu grupy nieformalnej.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Do formularza można załączyć dodatkowe dokumenty związane z planowanym projektem</w:t>
        <w:br/>
        <w:t>np. plany, wizualizacje, dodatkowe wyceny, rekomendacje i inne.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/>
        <w:t>Formularze dostarczone po terminie wskazanym w pkt. 6 nie będą rozpatrywane.</w:t>
      </w:r>
    </w:p>
    <w:p>
      <w:pPr>
        <w:pStyle w:val="Nagwek2"/>
        <w:spacing w:lineRule="auto" w:line="276"/>
        <w:jc w:val="center"/>
        <w:rPr/>
      </w:pPr>
      <w:r>
        <w:rPr>
          <w:rFonts w:eastAsia="Microsoft YaHei" w:cs="Mangal" w:ascii="Calibri" w:hAnsi="Calibri"/>
          <w:b/>
          <w:bCs/>
          <w:sz w:val="28"/>
          <w:szCs w:val="28"/>
        </w:rPr>
        <w:t xml:space="preserve">§ 5. </w:t>
      </w:r>
      <w:r>
        <w:rPr>
          <w:rFonts w:ascii="Calibri" w:hAnsi="Calibri"/>
          <w:b/>
          <w:bCs/>
          <w:sz w:val="28"/>
          <w:szCs w:val="28"/>
        </w:rPr>
        <w:t>KOMISJA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Burmistrz powołuje Komisję do oceny projektów liczącą co najmniej 5 osób, w tym: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przewodniczący,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zastępca przewodniczącego,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członkowie.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W skład Komisji Konkursowej wchodzącą: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pracownicy Urzędu Miejskiego w Grodzisku Wielkopolskim,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przedstawiciele organizacji pozarządowych i mieszkańców,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w pracach Komisji, z głosem doradczym mogą uczestniczyć eksperci posiadający specjalistyczną wiedzę w dziedzinie obejmującej zakres projektu.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Mieszkańcy oraz przedstawiciele organizacji pozarządowych mogą zgłaszać się do udziału w pracach komisji poprzez ankietę zgłoszeniową, która stanowi załącznik nr 3 do Regulaminu.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Termin składania zgłoszeń przedstawicieli organizacji pozarządowych i mieszkańców do udziału</w:t>
        <w:br/>
        <w:t>w pracach Komisji określa w ogłoszeniu Burmistrz.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Wyboru osób wchodzących w skład Komisji dokonuje Burmistrz.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Komisja może działać bez udziału osób z organizacji pozarządowych lub mieszkańców miasta, jeżeli nie zgłoszą się do udziału w pracach komisji.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Członkowie Komisji składają oświadczenie, że nie pozostają w takim stosunku prawnym lub faktycznym z podmiotami biorącymi udział w konkursie, który może budzić uzasadnioną wątpliwość co do ich bezstronności podczas oceniania projektów.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Imienny skład Komisji określa Burmistrz w formie zarządzenia.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Za pracę w komisji oceniającej projekty jej członkowie nie otrzymują wynagrodzenia.</w:t>
      </w:r>
    </w:p>
    <w:p>
      <w:pPr>
        <w:pStyle w:val="Nagwek2"/>
        <w:numPr>
          <w:ilvl w:val="0"/>
          <w:numId w:val="0"/>
        </w:numPr>
        <w:spacing w:lineRule="auto" w:line="276" w:before="126" w:after="114"/>
        <w:ind w:left="720" w:hanging="0"/>
        <w:jc w:val="center"/>
        <w:rPr/>
      </w:pPr>
      <w:r>
        <w:rPr>
          <w:rFonts w:eastAsia="Microsoft YaHei" w:cs="Mangal" w:ascii="Calibri" w:hAnsi="Calibri"/>
          <w:b/>
          <w:bCs/>
          <w:sz w:val="28"/>
          <w:szCs w:val="28"/>
        </w:rPr>
        <w:t xml:space="preserve">§ 6. </w:t>
      </w:r>
      <w:r>
        <w:rPr>
          <w:rFonts w:ascii="Calibri" w:hAnsi="Calibri"/>
          <w:b/>
          <w:bCs/>
          <w:sz w:val="28"/>
          <w:szCs w:val="28"/>
        </w:rPr>
        <w:t xml:space="preserve">OCENA ZGŁOSZONYCH PROJEKTÓW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/>
        <w:t xml:space="preserve">Komisja konkursowa przeprowadzi analizę złożonych formularzy pod względem formalno – prawnym, a wraz z właściwymi komórkami Urzędu Miejskiego w Grodzisku Wielkopolskim przeprowadzi analizę pod kątem możliwości wdrożenia projektu do realizacji.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/>
        <w:t>Komisja może wezwać uczestników Konkursu do uzupełnienia w ciągu 5 dni dokumentów konkursowych.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/>
        <w:t>W ramach konkursu nie może być wdrażany projekt który: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nie jest zgodny z kompetencjami gminy,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nie może być wdrożony do 31.12.2020 r.,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stoi w sprzeczności z obowiązującymi w mieście planami, programami i strategiami, w tym</w:t>
        <w:br/>
        <w:t>w szczególności z miejscowymi planami zagospodarowania przestrzennego,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narusza obowiązujące przepisy prawa, prawa osób trzecich,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zlokalizowany jest na majątku miasta obciążonym na rzecz osób trzecich lub przeznaczonym na sprzedaż,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po realizacji generowałoby koszty utrzymania niewspółmiernie wysokie w stosunku do wartości jednostkowej zgłoszonego zadania,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nie spełnia wymogów w zakresie gospodarności,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ma charakter komercyjny tzn. wynika z niego, że wnioskodawca będzie czerpał zysk</w:t>
        <w:br/>
        <w:t>w związku z realizacją projektu,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będzie negatywnie oddziaływał na środowisko lub otoczenie społeczne.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/>
        <w:t>Zweryfikowane pod względem formalno – prawnym projekty będą podlegały ocenie merytorycznej według następujących kryteriów: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znaczenie społeczne projektu - czy projekt jest potrzebny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opis sytuacji problemowej, którą projekt ma rozwiązać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racjonalność wykorzystania środków finansowych w projekcie,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trwałość zaproponowanych w projekcie rozwiązań,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/>
      </w:pPr>
      <w:r>
        <w:rPr/>
        <w:t>użyteczność projektu dla mieszkańców.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/>
        <w:t>Organizator zastrzega sobie prawo odstąpienia od wdrażania projektu, jeżeli po rozstrzygnięciu Konkursu okaże się, że wybrany projekt otrzymał dofinansowanie z innych źródeł.</w:t>
      </w:r>
    </w:p>
    <w:p>
      <w:pPr>
        <w:pStyle w:val="Nagwek2"/>
        <w:spacing w:lineRule="auto" w:line="276"/>
        <w:jc w:val="center"/>
        <w:rPr/>
      </w:pPr>
      <w:bookmarkStart w:id="1" w:name="__DdeLink__868_1144530301"/>
      <w:r>
        <w:rPr>
          <w:rFonts w:eastAsia="Microsoft YaHei" w:cs="Mangal" w:ascii="Calibri" w:hAnsi="Calibri"/>
          <w:b/>
          <w:bCs/>
          <w:sz w:val="28"/>
          <w:szCs w:val="28"/>
        </w:rPr>
        <w:t>§</w:t>
      </w:r>
      <w:bookmarkEnd w:id="1"/>
      <w:r>
        <w:rPr>
          <w:rFonts w:eastAsia="Microsoft YaHei" w:cs="Mangal" w:ascii="Calibri" w:hAnsi="Calibri"/>
          <w:b/>
          <w:bCs/>
          <w:sz w:val="28"/>
          <w:szCs w:val="28"/>
        </w:rPr>
        <w:t xml:space="preserve"> 7. </w:t>
      </w:r>
      <w:r>
        <w:rPr>
          <w:rFonts w:ascii="Calibri" w:hAnsi="Calibri"/>
          <w:b/>
          <w:bCs/>
          <w:sz w:val="28"/>
          <w:szCs w:val="28"/>
        </w:rPr>
        <w:t>WYBÓR PROJEKTÓW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Calibri" w:cs="" w:cstheme="minorBidi" w:eastAsiaTheme="minorHAnsi"/>
        </w:rPr>
        <w:t>Komisja dokona oceny projektów wg kryteriów wskazanych w § 6 ust. 4 w skali od 1 do 6. Formularz oceny stanowi załącznik nr 4 do Regulaminu.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/>
        <w:t>Komisja dokona wyboru najlepszych projektów inicjatyw społecznych, które otrzymały największą liczbę punktów do wyczerpania puli środków przeznaczonych na Konkurs.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/>
        <w:t>Komisja przygotuje listę, która zostanie opublikowana na stronie internetowej www.grodzisk.wlkp.pl, w Biuletynie Informacji Publicznej i na tablicy ogłoszeń.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/>
        <w:t xml:space="preserve">Organizator zastrzega sobie prawo wyboru mniejszej liczby najlepszych prac, jeśli zgłoszone projekty nie będą odpowiadać </w:t>
      </w:r>
      <w:r>
        <w:rPr>
          <w:rFonts w:eastAsia="Calibri" w:cs="" w:cstheme="minorBidi" w:eastAsiaTheme="minorHAnsi"/>
        </w:rPr>
        <w:t>wymogom wskazanym w Regulaminie.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/>
        <w:t>Decyzje Komisji są ostateczne i nie podlegają procedurom odwoławczym.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/>
      </w:pPr>
      <w:r>
        <w:rPr/>
        <w:t>Projekty będą mogli oceniać również mieszkańcy za pośrednictwem strony www.grodzisk.wlkp.pl. Opinie te będą pomocne w ocenie projektów.</w:t>
      </w:r>
    </w:p>
    <w:p>
      <w:pPr>
        <w:pStyle w:val="Nagwek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240" w:after="120"/>
        <w:ind w:left="0" w:right="0" w:hanging="0"/>
        <w:jc w:val="center"/>
        <w:rPr/>
      </w:pPr>
      <w:r>
        <w:rPr>
          <w:rFonts w:eastAsia="Microsoft YaHei" w:cs="Mangal" w:ascii="Calibri" w:hAnsi="Calibri"/>
          <w:b/>
          <w:bCs/>
        </w:rPr>
        <w:t xml:space="preserve">§ 8. </w:t>
      </w:r>
      <w:r>
        <w:rPr>
          <w:rFonts w:ascii="Calibri" w:hAnsi="Calibri"/>
          <w:b/>
          <w:bCs/>
        </w:rPr>
        <w:t>WYNIKI KONKURSU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/>
      </w:pPr>
      <w:r>
        <w:rPr/>
        <w:t>Autorzy wybranych projektów zostaną poinformowani drogą mailową lub telefoniczną o tym fakcie przez Organizatora Konkursu.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/>
      </w:pPr>
      <w:r>
        <w:rPr/>
        <w:t xml:space="preserve">Wyniki Konkursu zostaną ogłoszone na stronie internetowej Organizatora tj. </w:t>
      </w:r>
      <w:hyperlink r:id="rId5">
        <w:r>
          <w:rPr>
            <w:rStyle w:val="Czeinternetowe"/>
          </w:rPr>
          <w:t>www.grodzisk.wlkp.pl</w:t>
        </w:r>
      </w:hyperlink>
      <w:r>
        <w:rPr/>
        <w:t xml:space="preserve">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/>
      </w:pPr>
      <w:r>
        <w:rPr/>
        <w:t>Organizator może poprosić zwycięzców Konkursu o zaprezentowanie projektów na sesji Rady Miejskiej lub innym spotkaniu wskazanym przez Organizatora.</w:t>
      </w:r>
    </w:p>
    <w:p>
      <w:pPr>
        <w:pStyle w:val="Nagwek2"/>
        <w:spacing w:lineRule="auto" w:line="276"/>
        <w:jc w:val="center"/>
        <w:rPr/>
      </w:pPr>
      <w:r>
        <w:rPr>
          <w:rFonts w:eastAsia="Microsoft YaHei" w:cs="Mangal" w:ascii="Calibri" w:hAnsi="Calibri"/>
          <w:b/>
          <w:bCs/>
        </w:rPr>
        <w:t xml:space="preserve">§ 9. </w:t>
      </w:r>
      <w:r>
        <w:rPr>
          <w:rFonts w:ascii="Calibri" w:hAnsi="Calibri"/>
          <w:b/>
          <w:bCs/>
        </w:rPr>
        <w:t>INFORMACJA, PROMOCJA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/>
        <w:t>Działania promocyjne i informacyjne dotyczące Konkursu obejmą między innymi: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/>
      </w:pPr>
      <w:r>
        <w:rPr/>
        <w:t>zachęcanie mieszkańców do składania propozycji zadań oraz wzięcia udziału w głosowaniu internetowym,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/>
      </w:pPr>
      <w:r>
        <w:rPr/>
        <w:t>upowszechnianie informacji o propozycjach mieszkańców, wynikach głosowania na zadania zgłoszone w ramach Konkursu „Grodziskie Inicjatywy Społeczne 2020” oraz o efektach realizacji tych projektów.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/>
      </w:pPr>
      <w:r>
        <w:rPr/>
        <w:t>W ramach prowadzenia działań informacyjnych i promocyjnych wykorzystane zostaną różnorodne kanały i narzędzia komunikacji społecznej, w tym np.: otwarte spotkania informacyjne, publikacje drukowane, publikacje w serwisach internetowych, współpracę z mediami</w:t>
        <w:br/>
        <w:t>i innymi podmiotami zainteresowanymi popularyzacją idei aktywności społecznej mieszkańców.</w:t>
      </w:r>
    </w:p>
    <w:p>
      <w:pPr>
        <w:pStyle w:val="Nagwek1"/>
        <w:numPr>
          <w:ilvl w:val="0"/>
          <w:numId w:val="0"/>
        </w:numPr>
        <w:spacing w:lineRule="auto" w:line="276"/>
        <w:ind w:left="720" w:hanging="0"/>
        <w:jc w:val="center"/>
        <w:rPr/>
      </w:pPr>
      <w:r>
        <w:rPr>
          <w:rFonts w:eastAsia="Microsoft YaHei" w:cs="Mangal" w:ascii="Calibri" w:hAnsi="Calibri"/>
          <w:b/>
          <w:bCs/>
        </w:rPr>
        <w:t xml:space="preserve">§ 10. </w:t>
      </w:r>
      <w:r>
        <w:rPr>
          <w:rFonts w:ascii="Calibri" w:hAnsi="Calibri"/>
          <w:b/>
          <w:bCs/>
        </w:rPr>
        <w:t>PRZETWARZANIE DANYCH OSOBOWYCH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Zgłoszenie projektu w ramach Konkursu i udział w głosowaniu wymaga podania danych osobowych osoby zgłaszającej projekt, osób popierających wniosek, osoby głosującej oraz wyrażenia zgody na przetwarzanie tych danych.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Administratorem zbieranych i przetwarzanych przez Urząd Miejski w Grodzisku Wielkopolskim danych osobowych klientów jest Burmistrz Grodziska Wielkopolskiego. Adres Urzędu Miejskiego w Grodzisku Wielkopolskim ul. Stary Rynek 1, 62-065 Grodzisk Wielkopolski, tel. 61 445 30 00.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Inspektorem Ochrony Danych Osobowych Urzędu Miejskiego w Grodzisku Wielkopolskim jest Kancelaria Radców Prawnych Pawelczyk Kozik w Poznaniu, ul. Różana 13/3, 61-577 Poznań, tel. 792 304 042, e-mail: inspektor@rodo-krp.pl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Dane osobowe będą przetwarzane wyłącznie w celu realizacji Konkursu pt. „Grodziskie Inicjatywy społeczne 2020” w tym m. in. do weryfikacji czy osoby zgłaszające projekt lub osoby uczestniczące w głosowaniu są do tego uprawnione. Odbiorcami tych danych będą pracownicy Urzędu Miejskiego</w:t>
        <w:br/>
        <w:t>w Grodzisku Wielkopolskim oraz osoby biorące udział w opiniowaniu złożonych projektów.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Każdemu przysługuje prawo wglądu w jego dane osobowe, a podanie ich jest dobrowolne, jednak niezbędne dla udziału w Konkursie.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/>
      </w:pPr>
      <w:r>
        <w:rPr/>
        <w:t>Dane osobowe będą przetwarzane w zbiorze doraźnym i zostaną usunięte po zatwierdzeniu wyników głosowania w ramach Konkursu.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>
          <w:u w:val="single"/>
        </w:rPr>
      </w:pPr>
      <w:r>
        <w:rPr>
          <w:u w:val="single"/>
        </w:rPr>
        <w:t>Klauzula informacyjna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Zgodnie z art. 13 ogólnego rozporządzenia o ochronie danych osobowych z dnia 27 kwietnia 2016 r. (RODO) (Dz. Urz. UE L119 04.05.2016 r.) informujemy: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1) Administratorem Państwa danych osobowych przetwarzanych w Urzędzie Miejskim</w:t>
        <w:br/>
        <w:t>w Grodzisku Wielkopolskim jest Burmistrz Gminy Grodzisk Wielkopolski, ul. Stary Rynek 1, 62-065 Grodzisk Wielkopolski, tel. 61 445 30 00.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2) Jeżeli macie Państwo pytania dotyczące sposobu i zakresu przetwarzania danych osobowych możecie Państwo skontaktować się z Inspektorem Ochrony Danych: kontakt listowny na adres administratora tj. Kancelaria Radców Prawnych Pawelczyk Kozik w Poznaniu, ul. Różana 13/3, 61-577 Poznań, tel. 792 304 042, e-mail: inspektor@rodo-krp.pl.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3) Administrator danych osobowych przetwarza Państwa dane osobowe na podstawie obowiązujących przepisów prawa oraz na podstawie udzielonej zgody, zgodnie z art. 6 ust.</w:t>
        <w:br/>
        <w:t>1 lit.a) i lit. c) RODO.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4) Państwa dane osobowe są przetwarzane w celu określonym w powyższej karcie do głosowania.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5) W związku z przetwarzaniem danych osobowych w celach, o których mowa powyżej odbiorcami Państwa danych osobowych mogą być: organy i podmioty uprawnione w zakresie</w:t>
        <w:br/>
        <w:t>i w celach, które wynikają z przepisów obowiązującego prawa; inne podmioty, które na podstawie podpisanych stosownych umów przetwarzają dane osobowy na zlecenie Administratora.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6) Państwa dane osobowe będą przechowywane przez okres niezbędny do realizacji celów określonych powyżej, a po tym czasie przez okres i zakres wymaganym przez przepisy obowiązującego prawa.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7) W związku z przetwarzaniem danych osobowych przysługują Państwu następujące uprawnienia: prawo dostępu, w tym prawo do uzyskania kopii, prawo do żądania poprawiania, sprostowania; prawo do żądania usunięcia danych osobowych w przypadkach; prawo do żądania ograniczenia przetwarzania danych osobowych; prawo do przenoszenia danych; prawo sprzeciwu wobec przetwarzania danych.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8) 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9) Podanie przez Państwa danych jest warunkiem złożenia formularza zgłoszeniowego projektu.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  <w:t>10) Państwa dane mogą być przetwarzane w sposób zautomatyzowany.</w:t>
      </w:r>
    </w:p>
    <w:sectPr>
      <w:footerReference w:type="default" r:id="rId6"/>
      <w:type w:val="nextPage"/>
      <w:pgSz w:w="11906" w:h="16838"/>
      <w:pgMar w:left="1134" w:right="1134" w:header="0" w:top="1134" w:footer="904" w:bottom="13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false"/>
        <w:bCs w:val="false"/>
        <w:rFonts w:eastAsia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4c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>
      <w:spacing w:lineRule="auto" w:line="276"/>
    </w:pPr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fe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99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199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199e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512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512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a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a1b"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A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alibri" w:hAnsi="Calibri" w:eastAsia="Calibri" w:cs="Times New Roman"/>
    </w:rPr>
  </w:style>
  <w:style w:type="character" w:styleId="ListLabel49">
    <w:name w:val="ListLabel 49"/>
    <w:qFormat/>
    <w:rPr>
      <w:rFonts w:ascii="Times New Roman" w:hAnsi="Times New Roman"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ListLabel74">
    <w:name w:val="ListLabel 74"/>
    <w:qFormat/>
    <w:rPr>
      <w:rFonts w:ascii="Calibri" w:hAnsi="Calibri" w:eastAsia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5">
    <w:name w:val="ListLabel 75"/>
    <w:qFormat/>
    <w:rPr>
      <w:rFonts w:eastAsia="Calibri" w:cs="Times New Roman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eastAsia="Calibri" w:cs="Times New Roman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eastAsia="Calibri" w:cs="Times New Roman"/>
    </w:rPr>
  </w:style>
  <w:style w:type="character" w:styleId="ListLabel80">
    <w:name w:val="ListLabel 80"/>
    <w:qFormat/>
    <w:rPr/>
  </w:style>
  <w:style w:type="character" w:styleId="ListLabel81">
    <w:name w:val="ListLabel 81"/>
    <w:qFormat/>
    <w:rPr>
      <w:rFonts w:eastAsia="Calibri" w:cs="Times New Roman"/>
      <w:b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rFonts w:eastAsia="Calibri" w:cs="Times New Roman"/>
      <w:b w:val="false"/>
      <w:bCs w:val="false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rFonts w:eastAsia="Calibri" w:cs="Times New Roman"/>
      <w:b w:val="false"/>
      <w:bCs w:val="false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b w:val="false"/>
      <w:sz w:val="22"/>
      <w:szCs w:val="22"/>
    </w:rPr>
  </w:style>
  <w:style w:type="character" w:styleId="ListLabel89">
    <w:name w:val="ListLabel 89"/>
    <w:qFormat/>
    <w:rPr>
      <w:rFonts w:ascii="Calibri" w:hAnsi="Calibri"/>
      <w:b w:val="false"/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sz w:val="22"/>
      <w:szCs w:val="22"/>
    </w:rPr>
  </w:style>
  <w:style w:type="character" w:styleId="ListLabel97">
    <w:name w:val="ListLabel 97"/>
    <w:qFormat/>
    <w:rPr>
      <w:rFonts w:ascii="Calibri" w:hAnsi="Calibri"/>
      <w:b w:val="false"/>
      <w:sz w:val="22"/>
      <w:szCs w:val="22"/>
    </w:rPr>
  </w:style>
  <w:style w:type="character" w:styleId="ListLabel98">
    <w:name w:val="ListLabel 98"/>
    <w:qFormat/>
    <w:rPr>
      <w:rFonts w:ascii="Calibri" w:hAnsi="Calibri"/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/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rFonts w:eastAsia="Calibri" w:cs="Times New Roman"/>
      <w:b w:val="false"/>
      <w:bCs w:val="false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b w:val="false"/>
      <w:sz w:val="22"/>
      <w:szCs w:val="22"/>
    </w:rPr>
  </w:style>
  <w:style w:type="character" w:styleId="ListLabel112">
    <w:name w:val="ListLabel 112"/>
    <w:qFormat/>
    <w:rPr>
      <w:rFonts w:ascii="Calibri" w:hAnsi="Calibri"/>
      <w:b w:val="false"/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ascii="Calibri" w:hAnsi="Calibri"/>
      <w:b w:val="false"/>
      <w:sz w:val="22"/>
      <w:szCs w:val="22"/>
    </w:rPr>
  </w:style>
  <w:style w:type="character" w:styleId="ListLabel121">
    <w:name w:val="ListLabel 121"/>
    <w:qFormat/>
    <w:rPr>
      <w:rFonts w:ascii="Calibri" w:hAnsi="Calibri"/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sz w:val="22"/>
      <w:szCs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rFonts w:eastAsia="Calibri" w:cs="Times New Roman"/>
      <w:b w:val="false"/>
      <w:bCs w:val="false"/>
    </w:rPr>
  </w:style>
  <w:style w:type="character" w:styleId="ListLabel132">
    <w:name w:val="ListLabel 132"/>
    <w:qFormat/>
    <w:rPr>
      <w:b w:val="false"/>
      <w:sz w:val="22"/>
      <w:szCs w:val="22"/>
    </w:rPr>
  </w:style>
  <w:style w:type="character" w:styleId="ListLabel133">
    <w:name w:val="ListLabel 133"/>
    <w:qFormat/>
    <w:rPr>
      <w:b w:val="false"/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rFonts w:ascii="Calibri" w:hAnsi="Calibri"/>
      <w:b w:val="false"/>
      <w:sz w:val="22"/>
      <w:szCs w:val="22"/>
    </w:rPr>
  </w:style>
  <w:style w:type="character" w:styleId="ListLabel142">
    <w:name w:val="ListLabel 142"/>
    <w:qFormat/>
    <w:rPr>
      <w:rFonts w:ascii="Calibri" w:hAnsi="Calibri"/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rFonts w:eastAsia="Calibri" w:cs="Times New Roman"/>
      <w:b w:val="false"/>
      <w:bCs w:val="false"/>
    </w:rPr>
  </w:style>
  <w:style w:type="character" w:styleId="ListLabel153">
    <w:name w:val="ListLabel 153"/>
    <w:qFormat/>
    <w:rPr>
      <w:b w:val="false"/>
      <w:sz w:val="22"/>
      <w:szCs w:val="22"/>
    </w:rPr>
  </w:style>
  <w:style w:type="character" w:styleId="ListLabel154">
    <w:name w:val="ListLabel 154"/>
    <w:qFormat/>
    <w:rPr>
      <w:b w:val="false"/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rFonts w:ascii="Calibri" w:hAnsi="Calibri"/>
      <w:b w:val="false"/>
      <w:sz w:val="22"/>
      <w:szCs w:val="22"/>
    </w:rPr>
  </w:style>
  <w:style w:type="character" w:styleId="ListLabel163">
    <w:name w:val="ListLabel 163"/>
    <w:qFormat/>
    <w:rPr>
      <w:rFonts w:ascii="Calibri" w:hAnsi="Calibri"/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sz w:val="22"/>
      <w:szCs w:val="22"/>
    </w:rPr>
  </w:style>
  <w:style w:type="character" w:styleId="ListLabel171">
    <w:name w:val="ListLabel 171"/>
    <w:qFormat/>
    <w:rPr/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rFonts w:eastAsia="Calibri" w:cs="Times New Roman"/>
      <w:b w:val="false"/>
      <w:bCs w:val="false"/>
    </w:rPr>
  </w:style>
  <w:style w:type="character" w:styleId="ListLabel174">
    <w:name w:val="ListLabel 174"/>
    <w:qFormat/>
    <w:rPr>
      <w:b w:val="false"/>
      <w:sz w:val="22"/>
      <w:szCs w:val="22"/>
    </w:rPr>
  </w:style>
  <w:style w:type="character" w:styleId="ListLabel175">
    <w:name w:val="ListLabel 175"/>
    <w:qFormat/>
    <w:rPr>
      <w:b w:val="false"/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rFonts w:ascii="Calibri" w:hAnsi="Calibri"/>
      <w:b w:val="false"/>
      <w:sz w:val="22"/>
      <w:szCs w:val="22"/>
    </w:rPr>
  </w:style>
  <w:style w:type="character" w:styleId="ListLabel184">
    <w:name w:val="ListLabel 184"/>
    <w:qFormat/>
    <w:rPr>
      <w:rFonts w:ascii="Calibri" w:hAnsi="Calibri"/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rFonts w:eastAsia="Calibri" w:cs="Times New Roman"/>
      <w:b w:val="false"/>
      <w:bCs w:val="false"/>
    </w:rPr>
  </w:style>
  <w:style w:type="character" w:styleId="ListLabel195">
    <w:name w:val="ListLabel 195"/>
    <w:qFormat/>
    <w:rPr>
      <w:b w:val="false"/>
      <w:sz w:val="22"/>
      <w:szCs w:val="22"/>
    </w:rPr>
  </w:style>
  <w:style w:type="character" w:styleId="ListLabel196">
    <w:name w:val="ListLabel 196"/>
    <w:qFormat/>
    <w:rPr>
      <w:b w:val="false"/>
      <w:sz w:val="22"/>
      <w:szCs w:val="22"/>
    </w:rPr>
  </w:style>
  <w:style w:type="character" w:styleId="ListLabel197">
    <w:name w:val="ListLabel 197"/>
    <w:qFormat/>
    <w:rPr>
      <w:sz w:val="22"/>
      <w:szCs w:val="22"/>
    </w:rPr>
  </w:style>
  <w:style w:type="character" w:styleId="ListLabel198">
    <w:name w:val="ListLabel 198"/>
    <w:qFormat/>
    <w:rPr>
      <w:sz w:val="22"/>
      <w:szCs w:val="22"/>
    </w:rPr>
  </w:style>
  <w:style w:type="character" w:styleId="ListLabel199">
    <w:name w:val="ListLabel 199"/>
    <w:qFormat/>
    <w:rPr>
      <w:sz w:val="22"/>
      <w:szCs w:val="22"/>
    </w:rPr>
  </w:style>
  <w:style w:type="character" w:styleId="ListLabel200">
    <w:name w:val="ListLabel 200"/>
    <w:qFormat/>
    <w:rPr>
      <w:sz w:val="22"/>
      <w:szCs w:val="22"/>
    </w:rPr>
  </w:style>
  <w:style w:type="character" w:styleId="ListLabel201">
    <w:name w:val="ListLabel 201"/>
    <w:qFormat/>
    <w:rPr>
      <w:sz w:val="22"/>
      <w:szCs w:val="22"/>
    </w:rPr>
  </w:style>
  <w:style w:type="character" w:styleId="ListLabel202">
    <w:name w:val="ListLabel 202"/>
    <w:qFormat/>
    <w:rPr>
      <w:sz w:val="22"/>
      <w:szCs w:val="22"/>
    </w:rPr>
  </w:style>
  <w:style w:type="character" w:styleId="ListLabel203">
    <w:name w:val="ListLabel 203"/>
    <w:qFormat/>
    <w:rPr>
      <w:sz w:val="22"/>
      <w:szCs w:val="22"/>
    </w:rPr>
  </w:style>
  <w:style w:type="character" w:styleId="ListLabel204">
    <w:name w:val="ListLabel 204"/>
    <w:qFormat/>
    <w:rPr>
      <w:rFonts w:ascii="Calibri" w:hAnsi="Calibri"/>
      <w:b w:val="false"/>
      <w:sz w:val="22"/>
      <w:szCs w:val="22"/>
    </w:rPr>
  </w:style>
  <w:style w:type="character" w:styleId="ListLabel205">
    <w:name w:val="ListLabel 205"/>
    <w:qFormat/>
    <w:rPr>
      <w:rFonts w:ascii="Calibri" w:hAnsi="Calibri"/>
      <w:sz w:val="22"/>
      <w:szCs w:val="22"/>
    </w:rPr>
  </w:style>
  <w:style w:type="character" w:styleId="ListLabel206">
    <w:name w:val="ListLabel 206"/>
    <w:qFormat/>
    <w:rPr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rFonts w:eastAsia="Calibri" w:cs="Times New Roman"/>
      <w:b w:val="false"/>
      <w:bCs w:val="false"/>
    </w:rPr>
  </w:style>
  <w:style w:type="character" w:styleId="ListLabel216">
    <w:name w:val="ListLabel 216"/>
    <w:qFormat/>
    <w:rPr>
      <w:b w:val="false"/>
      <w:sz w:val="22"/>
      <w:szCs w:val="22"/>
    </w:rPr>
  </w:style>
  <w:style w:type="character" w:styleId="ListLabel217">
    <w:name w:val="ListLabel 217"/>
    <w:qFormat/>
    <w:rPr>
      <w:b w:val="false"/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rFonts w:ascii="Calibri" w:hAnsi="Calibri"/>
      <w:b w:val="false"/>
      <w:sz w:val="22"/>
      <w:szCs w:val="22"/>
    </w:rPr>
  </w:style>
  <w:style w:type="character" w:styleId="ListLabel226">
    <w:name w:val="ListLabel 226"/>
    <w:qFormat/>
    <w:rPr>
      <w:rFonts w:ascii="Calibri" w:hAnsi="Calibri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/>
  </w:style>
  <w:style w:type="character" w:styleId="ListLabel235">
    <w:name w:val="ListLabel 235"/>
    <w:qFormat/>
    <w:rPr>
      <w:rFonts w:eastAsia="Calibri" w:cs="Times New Roman"/>
      <w:b w:val="false"/>
      <w:bCs w:val="false"/>
    </w:rPr>
  </w:style>
  <w:style w:type="character" w:styleId="ListLabel236">
    <w:name w:val="ListLabel 236"/>
    <w:qFormat/>
    <w:rPr>
      <w:rFonts w:ascii="Calibri" w:hAnsi="Calibri"/>
      <w:b w:val="false"/>
      <w:sz w:val="22"/>
      <w:szCs w:val="22"/>
    </w:rPr>
  </w:style>
  <w:style w:type="character" w:styleId="ListLabel237">
    <w:name w:val="ListLabel 237"/>
    <w:qFormat/>
    <w:rPr>
      <w:rFonts w:ascii="Calibri" w:hAnsi="Calibri"/>
      <w:b w:val="false"/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sz w:val="22"/>
      <w:szCs w:val="22"/>
    </w:rPr>
  </w:style>
  <w:style w:type="character" w:styleId="ListLabel244">
    <w:name w:val="ListLabel 244"/>
    <w:qFormat/>
    <w:rPr>
      <w:sz w:val="22"/>
      <w:szCs w:val="22"/>
    </w:rPr>
  </w:style>
  <w:style w:type="character" w:styleId="ListLabel245">
    <w:name w:val="ListLabel 245"/>
    <w:qFormat/>
    <w:rPr>
      <w:rFonts w:ascii="Calibri" w:hAnsi="Calibri"/>
      <w:b w:val="false"/>
      <w:sz w:val="22"/>
      <w:szCs w:val="22"/>
    </w:rPr>
  </w:style>
  <w:style w:type="character" w:styleId="ListLabel246">
    <w:name w:val="ListLabel 246"/>
    <w:qFormat/>
    <w:rPr>
      <w:rFonts w:ascii="Calibri" w:hAnsi="Calibri"/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sz w:val="22"/>
      <w:szCs w:val="22"/>
    </w:rPr>
  </w:style>
  <w:style w:type="character" w:styleId="ListLabel253">
    <w:name w:val="ListLabel 253"/>
    <w:qFormat/>
    <w:rPr>
      <w:sz w:val="22"/>
      <w:szCs w:val="22"/>
    </w:rPr>
  </w:style>
  <w:style w:type="character" w:styleId="ListLabel254">
    <w:name w:val="ListLabel 254"/>
    <w:qFormat/>
    <w:rPr/>
  </w:style>
  <w:style w:type="character" w:styleId="ListLabel255">
    <w:name w:val="ListLabel 255"/>
    <w:qFormat/>
    <w:rPr>
      <w:rFonts w:eastAsia="Calibri" w:cs="Times New Roman"/>
      <w:b w:val="false"/>
      <w:bCs w:val="false"/>
    </w:rPr>
  </w:style>
  <w:style w:type="character" w:styleId="ListLabel256">
    <w:name w:val="ListLabel 256"/>
    <w:qFormat/>
    <w:rPr>
      <w:rFonts w:ascii="Calibri" w:hAnsi="Calibri"/>
      <w:b w:val="false"/>
      <w:sz w:val="22"/>
      <w:szCs w:val="22"/>
    </w:rPr>
  </w:style>
  <w:style w:type="character" w:styleId="ListLabel257">
    <w:name w:val="ListLabel 257"/>
    <w:qFormat/>
    <w:rPr>
      <w:rFonts w:ascii="Calibri" w:hAnsi="Calibri"/>
      <w:b w:val="false"/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sz w:val="22"/>
      <w:szCs w:val="22"/>
    </w:rPr>
  </w:style>
  <w:style w:type="character" w:styleId="ListLabel263">
    <w:name w:val="ListLabel 263"/>
    <w:qFormat/>
    <w:rPr>
      <w:sz w:val="22"/>
      <w:szCs w:val="22"/>
    </w:rPr>
  </w:style>
  <w:style w:type="character" w:styleId="ListLabel264">
    <w:name w:val="ListLabel 264"/>
    <w:qFormat/>
    <w:rPr>
      <w:sz w:val="22"/>
      <w:szCs w:val="22"/>
    </w:rPr>
  </w:style>
  <w:style w:type="character" w:styleId="ListLabel265">
    <w:name w:val="ListLabel 265"/>
    <w:qFormat/>
    <w:rPr>
      <w:rFonts w:ascii="Calibri" w:hAnsi="Calibri"/>
      <w:b w:val="false"/>
      <w:sz w:val="22"/>
      <w:szCs w:val="22"/>
    </w:rPr>
  </w:style>
  <w:style w:type="character" w:styleId="ListLabel266">
    <w:name w:val="ListLabel 266"/>
    <w:qFormat/>
    <w:rPr>
      <w:rFonts w:ascii="Calibri" w:hAnsi="Calibri"/>
      <w:sz w:val="22"/>
      <w:szCs w:val="22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sz w:val="22"/>
      <w:szCs w:val="22"/>
    </w:rPr>
  </w:style>
  <w:style w:type="character" w:styleId="ListLabel270">
    <w:name w:val="ListLabel 270"/>
    <w:qFormat/>
    <w:rPr>
      <w:sz w:val="22"/>
      <w:szCs w:val="22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/>
  </w:style>
  <w:style w:type="character" w:styleId="ListLabel275">
    <w:name w:val="ListLabel 275"/>
    <w:qFormat/>
    <w:rPr>
      <w:rFonts w:eastAsia="Calibri" w:cs="Times New Roman"/>
      <w:b w:val="false"/>
      <w:bCs w:val="false"/>
    </w:rPr>
  </w:style>
  <w:style w:type="character" w:styleId="ListLabel276">
    <w:name w:val="ListLabel 276"/>
    <w:qFormat/>
    <w:rPr>
      <w:rFonts w:ascii="Calibri" w:hAnsi="Calibri"/>
      <w:b w:val="false"/>
      <w:sz w:val="22"/>
      <w:szCs w:val="22"/>
    </w:rPr>
  </w:style>
  <w:style w:type="character" w:styleId="ListLabel277">
    <w:name w:val="ListLabel 277"/>
    <w:qFormat/>
    <w:rPr>
      <w:rFonts w:ascii="Calibri" w:hAnsi="Calibri"/>
      <w:b w:val="false"/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rFonts w:ascii="Calibri" w:hAnsi="Calibri"/>
      <w:b w:val="false"/>
      <w:sz w:val="22"/>
      <w:szCs w:val="22"/>
    </w:rPr>
  </w:style>
  <w:style w:type="character" w:styleId="ListLabel286">
    <w:name w:val="ListLabel 286"/>
    <w:qFormat/>
    <w:rPr>
      <w:rFonts w:ascii="Calibri" w:hAnsi="Calibri"/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4c7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f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199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199e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91512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agwekjk">
    <w:name w:val="Nagłówek_jk"/>
    <w:basedOn w:val="Nagwek1"/>
    <w:qFormat/>
    <w:pPr>
      <w:jc w:val="center"/>
    </w:pPr>
    <w:rPr>
      <w:rFonts w:ascii="Calibri" w:hAnsi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IVX">
    <w:name w:val="Numeracja IVX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odzisk.wlkp.pl/" TargetMode="External"/><Relationship Id="rId3" Type="http://schemas.openxmlformats.org/officeDocument/2006/relationships/hyperlink" Target="mailto:j.kalinska@grodzisk.wlkp.pl" TargetMode="External"/><Relationship Id="rId4" Type="http://schemas.openxmlformats.org/officeDocument/2006/relationships/hyperlink" Target="mailto:grodzisk@grodzisk.wlkp.pl" TargetMode="External"/><Relationship Id="rId5" Type="http://schemas.openxmlformats.org/officeDocument/2006/relationships/hyperlink" Target="http://www.grodzisk.wlkp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Application>LibreOffice/6.2.3.2$Windows_x86 LibreOffice_project/aecc05fe267cc68dde00352a451aa867b3b546ac</Application>
  <Pages>6</Pages>
  <Words>1957</Words>
  <Characters>12816</Characters>
  <CharactersWithSpaces>14583</CharactersWithSpaces>
  <Paragraphs>127</Paragraphs>
  <Company>Urząd Miasta Olsztyna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2017-08-21T11:12:00Z</dcterms:created>
  <dc:creator>Paulina Żukowska</dc:creator>
  <dc:description/>
  <dc:language>pl-PL</dc:language>
  <cp:lastModifiedBy/>
  <cp:lastPrinted>2019-07-10T07:32:06Z</cp:lastPrinted>
  <dcterms:modified xsi:type="dcterms:W3CDTF">2019-07-17T12:50:41Z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